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before="0" w:line="240" w:lineRule="auto"/>
        <w:ind w:firstLine="709" w:left="0" w:right="0"/>
        <w:jc w:val="both"/>
        <w:rPr>
          <w:rFonts w:ascii="Times New Roman" w:hAnsi="Times New Roman"/>
          <w:b w:val="1"/>
          <w:sz w:val="28"/>
        </w:rPr>
      </w:pPr>
      <w:r>
        <w:rPr>
          <w:rFonts w:ascii="Times New Roman" w:hAnsi="Times New Roman"/>
          <w:b w:val="1"/>
          <w:sz w:val="28"/>
        </w:rPr>
        <w:t>За участниками СВО сохранят рабочие места на весь период службы</w:t>
      </w:r>
    </w:p>
    <w:p w14:paraId="02000000">
      <w:pPr>
        <w:widowControl w:val="1"/>
        <w:spacing w:after="0" w:before="0" w:line="240" w:lineRule="auto"/>
        <w:ind w:firstLine="709" w:left="0" w:right="0"/>
        <w:jc w:val="both"/>
        <w:rPr>
          <w:rFonts w:ascii="Times New Roman" w:hAnsi="Times New Roman"/>
          <w:b w:val="0"/>
          <w:sz w:val="28"/>
        </w:rPr>
      </w:pPr>
    </w:p>
    <w:p w14:paraId="03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Федеральным законом от 26.12.2024 № 498-ФЗ внесены изменения в статью 351.7 Трудового кодекса РФ, которые вступают в силу с 1 марта 2025 года. Согласно изменениям действие трудового договора подлежит приостановлению на весь период прохождения работником службы или действия контракта.</w:t>
      </w:r>
    </w:p>
    <w:p w14:paraId="04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Работодатель на основании заявления работника издает приказ о приостановлении действия трудового договора. На этот период за работником сохраняется место работы (должность).</w:t>
      </w:r>
    </w:p>
    <w:p w14:paraId="05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Работодатель не позднее дня приостановления действия трудового договора обязан выплатить работнику причитающиеся ему выплаты в полном объеме. На период приостановления действия трудового договора в отношении работника сохраняются социально-трудовые гарантии, право на предоставление которых он получил до начала указанного периода (в том числе дополнительное страхование работника, негосударственное пенсионное обеспечение работника, улучшение социально-бытовых условий работника и членов его семьи).</w:t>
      </w:r>
    </w:p>
    <w:p w14:paraId="06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Работодатель в период приостановления действия трудового договора вправе выплачивать работнику материальную помощь. Этот период засчитывается в трудовой стаж работника, а также в стаж работы по специальности (за исключением случаев досрочного назначения страховой пенсии по старости).</w:t>
      </w:r>
    </w:p>
    <w:p w14:paraId="07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Действие трудового договора возобновляется в день выхода работника на работу. Работник обязан предупредить работодателя о своем выходе на работу не позднее чем за три рабочих дня.</w:t>
      </w:r>
    </w:p>
    <w:p w14:paraId="08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Работник в течение шести месяцев после возобновления трудового договора имеет право на предоставление ему ежегодного оплачиваемого отпуска в удобное для него время независимо от стажа работы у работодателя.</w:t>
      </w:r>
    </w:p>
    <w:p w14:paraId="09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Расторжение по инициативе работодателя трудового договора с работником в период приостановления действия трудового договора не допускается, за исключением отдельных случаев (ликвидация организации, прекращение деятельности ИП, истечение срока действия трудового договора, если он был заключен на определенный срок (сезонные работы, временные работы и др.). В случае, если работник не вышел на работу по истечении трех месяцев после окончания прохождения им службы, расторжение трудового договора с работником осуществляется по инициативе работодателя по п. 13.1 ч.1 ст. 81 Трудового кодекса РФ.</w:t>
      </w:r>
    </w:p>
    <w:p w14:paraId="0A000000">
      <w:pPr>
        <w:widowControl w:val="1"/>
        <w:spacing w:after="0" w:before="0" w:line="240" w:lineRule="auto"/>
        <w:ind w:firstLine="709" w:left="0" w:right="0"/>
        <w:jc w:val="both"/>
        <w:rPr>
          <w:rFonts w:ascii="Times New Roman" w:hAnsi="Times New Roman"/>
          <w:b w:val="0"/>
          <w:sz w:val="28"/>
        </w:rPr>
      </w:pPr>
    </w:p>
    <w:p w14:paraId="0B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Прокурор Курманаевского района</w:t>
      </w:r>
    </w:p>
    <w:p w14:paraId="0C000000">
      <w:pPr>
        <w:widowControl w:val="1"/>
        <w:spacing w:after="0" w:before="0" w:line="240" w:lineRule="auto"/>
        <w:ind w:firstLine="0" w:left="0" w:right="0"/>
        <w:jc w:val="both"/>
        <w:rPr>
          <w:rFonts w:ascii="Times New Roman" w:hAnsi="Times New Roman"/>
          <w:b w:val="0"/>
          <w:sz w:val="28"/>
        </w:rPr>
      </w:pPr>
    </w:p>
    <w:p w14:paraId="0D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советник юстиции                                                                                     Ю.Е. Кучуров</w:t>
      </w: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prstDash val="solid"/>
        </a:ln>
        <a:ln>
          <a:solidFill>
            <a:schemeClr val="phClr"/>
          </a:solidFill>
          <a:prstDash val="solid"/>
        </a:ln>
        <a:ln>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2025-11-21T07:11:02Z</dcterms:modified>
</cp:coreProperties>
</file>